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6"/>
          <w:szCs w:val="36"/>
          <w:u w:val="single"/>
          <w:rtl w:val="0"/>
        </w:rPr>
        <w:t xml:space="preserve">Curriculum Outcomes for Mi’kmaw Studies 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Unit 1: Introductory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be expected to: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I1: Demonstrate an understanding of the importance of worldview and perspective on interpretations of history and culture.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I2: Demonstrate an understanding of Mi’kmaw society before European contact.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I3: Explore the different relationships that were forged by the Mi’kmaq with other First Nations and with the French and the English.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Unit 2: Governance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be expected to: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G1: Investigate the early territories and complexities of pre-contact Mi’kmaw civilization.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G2: Investigate the inherent rights of the Mi’kmaq as the first occupants of the land.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G3: Compare the pre-contact and post-contact Mi’kmaw governing structures.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G4: Investigate historical and contemporary issues, including the concept of pre-Contact Mi’kmaq Nationhood, related to the Concordat of 1610, the Treaties of Peace and Friendship, and other proclamations.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G5: Evaluate the adverse effects of discriminatory policies, legislation, and social injustices (including those faced by women and veterans) on First Nations in Canada.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Unit 3: Culture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be expected to: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C1: Analyse how cultural biases have impacted views of First Nations peoples both in the past and in the present.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C2: Investigate the role oral tradition plays in the maintenance of Mi’kmaw cultural continuity and identity.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C3: Demonstrate an understanding of the importance of the roles Mi’kmaw Elders continue to have in maintaining cultural values.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C4: Explore traditional and contemporary expressions of Mi’kmaw art, crafts, music, dance, and literature.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Unit 4: Education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be expected to: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E1: Investigate traditional educational practices within Mi’kmaw culture with a focus on how these practices changed over time.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E2: Investigate the origins, goals, and impacts of the Indian Residential School System.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E3: Demonstrate an understanding of the efforts of First Nations communities to regain control of their own education.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Unit 5: Spirituality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be expected to: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S1: Demonstrate an understanding of the beliefs, customs, and values of traditional Mi’kmaw spirituality.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S2: Demonstrate an understanding of the significance of the creation stories within Mi’kmaw spirituality, identity, and sense of place in the world.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S3: Compare 17th century Roman Catholicism and traditional Mi’kmaw spirituality so as to better understand the unique blend of the two that exists in many communities today.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Independent Study: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IS1: Critically investigate and inquire into historical and/or contemporary Mi’kmaw issues by designing and conducting a research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independent study is intended to be something students work toward for most, if not all, of the course. Students will conduct a research project wherein they demonstrate their research findings in any number of ways. Often when we hear the word “research” a term paper comes to mind; with this independent study students will also have the opportunity to demonstrate their findings through artistic presentation, audio/video presentations, dramatic presentations, physical models, experiments, demonstrations, creation of documents using primary and secondary sources, interviews, etc. Student projects should be designed so that they are connected to the essential question for the course and to key elements covered during the course.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